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АДМИНИСТРАЦИЯ</w:t>
      </w:r>
    </w:p>
    <w:p w:rsidR="00CD2D55" w:rsidRPr="002F0584" w:rsidRDefault="00A0073F" w:rsidP="0075123A">
      <w:pPr>
        <w:ind w:firstLine="0"/>
        <w:jc w:val="center"/>
        <w:rPr>
          <w:rFonts w:ascii="Times New Roman" w:hAnsi="Times New Roman"/>
          <w:sz w:val="28"/>
          <w:szCs w:val="28"/>
        </w:rPr>
      </w:pPr>
      <w:r>
        <w:rPr>
          <w:rFonts w:ascii="Times New Roman" w:hAnsi="Times New Roman"/>
          <w:sz w:val="28"/>
          <w:szCs w:val="28"/>
        </w:rPr>
        <w:t xml:space="preserve"> ЯРКОВСКОГО СЕЛЬСКОГО</w:t>
      </w:r>
      <w:r w:rsidR="00CD2D55" w:rsidRPr="002F0584">
        <w:rPr>
          <w:rFonts w:ascii="Times New Roman" w:hAnsi="Times New Roman"/>
          <w:sz w:val="28"/>
          <w:szCs w:val="28"/>
        </w:rPr>
        <w:t xml:space="preserve"> ПОСЕЛЕНИЯ</w:t>
      </w:r>
    </w:p>
    <w:p w:rsidR="00CD2D55" w:rsidRPr="002F0584" w:rsidRDefault="00A0073F" w:rsidP="0075123A">
      <w:pPr>
        <w:ind w:firstLine="0"/>
        <w:jc w:val="center"/>
        <w:rPr>
          <w:rFonts w:ascii="Times New Roman" w:hAnsi="Times New Roman"/>
          <w:sz w:val="28"/>
          <w:szCs w:val="28"/>
        </w:rPr>
      </w:pPr>
      <w:r>
        <w:rPr>
          <w:rFonts w:ascii="Times New Roman" w:hAnsi="Times New Roman"/>
          <w:sz w:val="28"/>
          <w:szCs w:val="28"/>
        </w:rPr>
        <w:t xml:space="preserve">НОВОХОПЕРСКОГО </w:t>
      </w:r>
      <w:r w:rsidR="00CD2D55" w:rsidRPr="002F0584">
        <w:rPr>
          <w:rFonts w:ascii="Times New Roman" w:hAnsi="Times New Roman"/>
          <w:sz w:val="28"/>
          <w:szCs w:val="28"/>
        </w:rPr>
        <w:t>МУНИЦИПАЛ</w:t>
      </w:r>
      <w:r>
        <w:rPr>
          <w:rFonts w:ascii="Times New Roman" w:hAnsi="Times New Roman"/>
          <w:sz w:val="28"/>
          <w:szCs w:val="28"/>
        </w:rPr>
        <w:t xml:space="preserve">ЬНОГО РАЙОНА </w:t>
      </w:r>
    </w:p>
    <w:p w:rsidR="00CD2D55" w:rsidRDefault="00CD2D55" w:rsidP="0075123A">
      <w:pPr>
        <w:ind w:firstLine="0"/>
        <w:jc w:val="center"/>
        <w:rPr>
          <w:rFonts w:ascii="Times New Roman" w:hAnsi="Times New Roman"/>
          <w:sz w:val="28"/>
          <w:szCs w:val="28"/>
        </w:rPr>
      </w:pPr>
      <w:r w:rsidRPr="002F0584">
        <w:rPr>
          <w:rFonts w:ascii="Times New Roman" w:hAnsi="Times New Roman"/>
          <w:sz w:val="28"/>
          <w:szCs w:val="28"/>
        </w:rPr>
        <w:t>ВОРОНЕЖСКОЙ ОБЛАСТИ</w:t>
      </w:r>
    </w:p>
    <w:p w:rsidR="00A0073F" w:rsidRPr="002F0584" w:rsidRDefault="00A0073F" w:rsidP="0075123A">
      <w:pPr>
        <w:ind w:firstLine="0"/>
        <w:jc w:val="center"/>
        <w:rPr>
          <w:rFonts w:ascii="Times New Roman" w:hAnsi="Times New Roman"/>
          <w:sz w:val="28"/>
          <w:szCs w:val="28"/>
        </w:rPr>
      </w:pP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ПОСТАНОВЛЕНИЕ</w:t>
      </w:r>
    </w:p>
    <w:p w:rsidR="00CD2D55" w:rsidRPr="002F0584" w:rsidRDefault="00CD2D55" w:rsidP="0075123A">
      <w:pPr>
        <w:tabs>
          <w:tab w:val="left" w:pos="1172"/>
        </w:tabs>
        <w:rPr>
          <w:rFonts w:ascii="Times New Roman" w:hAnsi="Times New Roman"/>
          <w:sz w:val="28"/>
          <w:szCs w:val="28"/>
        </w:rPr>
      </w:pPr>
    </w:p>
    <w:p w:rsidR="00CD2D55" w:rsidRDefault="00A0073F" w:rsidP="00527931">
      <w:pPr>
        <w:tabs>
          <w:tab w:val="left" w:pos="1172"/>
        </w:tabs>
        <w:ind w:firstLine="0"/>
        <w:jc w:val="left"/>
        <w:rPr>
          <w:rFonts w:ascii="Times New Roman" w:hAnsi="Times New Roman"/>
          <w:sz w:val="28"/>
          <w:szCs w:val="28"/>
        </w:rPr>
      </w:pPr>
      <w:r>
        <w:rPr>
          <w:rFonts w:ascii="Times New Roman" w:hAnsi="Times New Roman"/>
          <w:sz w:val="28"/>
          <w:szCs w:val="28"/>
        </w:rPr>
        <w:t>«19» декабря 2024 г.   № 67</w:t>
      </w:r>
    </w:p>
    <w:p w:rsidR="00CD2D55" w:rsidRPr="00A0073F" w:rsidRDefault="00A0073F" w:rsidP="00A0073F">
      <w:pPr>
        <w:tabs>
          <w:tab w:val="left" w:pos="1172"/>
        </w:tabs>
        <w:ind w:firstLine="0"/>
        <w:jc w:val="left"/>
        <w:rPr>
          <w:rFonts w:ascii="Times New Roman" w:hAnsi="Times New Roman"/>
          <w:sz w:val="20"/>
          <w:szCs w:val="20"/>
        </w:rPr>
      </w:pPr>
      <w:r>
        <w:rPr>
          <w:rFonts w:ascii="Times New Roman" w:hAnsi="Times New Roman"/>
          <w:sz w:val="20"/>
          <w:szCs w:val="20"/>
        </w:rPr>
        <w:t>с.Ярки</w:t>
      </w:r>
    </w:p>
    <w:p w:rsidR="00A0073F" w:rsidRPr="002D14D7" w:rsidRDefault="00A0073F" w:rsidP="002D14D7">
      <w:pPr>
        <w:pStyle w:val="Title"/>
        <w:ind w:firstLine="0"/>
        <w:jc w:val="both"/>
        <w:rPr>
          <w:rFonts w:ascii="Times New Roman" w:hAnsi="Times New Roman" w:cs="Times New Roman"/>
          <w:b w:val="0"/>
          <w:sz w:val="28"/>
          <w:szCs w:val="28"/>
        </w:rPr>
      </w:pPr>
      <w:r w:rsidRPr="002D14D7">
        <w:rPr>
          <w:rFonts w:ascii="Times New Roman" w:hAnsi="Times New Roman" w:cs="Times New Roman"/>
          <w:b w:val="0"/>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Ярковского сельского поселения  Новохоперского муниципального района  Воронежской области</w:t>
      </w:r>
    </w:p>
    <w:p w:rsidR="00A0073F" w:rsidRPr="002F0584" w:rsidRDefault="00A0073F" w:rsidP="00A0073F">
      <w:pPr>
        <w:pStyle w:val="a3"/>
        <w:widowControl w:val="0"/>
        <w:tabs>
          <w:tab w:val="left" w:pos="0"/>
        </w:tabs>
        <w:autoSpaceDE w:val="0"/>
        <w:autoSpaceDN w:val="0"/>
        <w:adjustRightInd w:val="0"/>
        <w:ind w:firstLine="709"/>
        <w:jc w:val="both"/>
      </w:pPr>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t>вом  Ярковского сельского поселения Новохоперского</w:t>
      </w:r>
      <w:r w:rsidRPr="002F0584">
        <w:t xml:space="preserve"> муниципал</w:t>
      </w:r>
      <w:r>
        <w:t>ьного района</w:t>
      </w:r>
      <w:r w:rsidRPr="002F0584">
        <w:t xml:space="preserve"> Воронежской области администрац</w:t>
      </w:r>
      <w:r>
        <w:t>ия Ярковского сельского поселения Новохопёрского</w:t>
      </w:r>
      <w:r w:rsidRPr="002F0584">
        <w:t xml:space="preserve"> муниципального района Воронежской области</w:t>
      </w:r>
    </w:p>
    <w:p w:rsidR="001E74C7" w:rsidRPr="002F0584" w:rsidRDefault="001E74C7" w:rsidP="0075123A">
      <w:pPr>
        <w:ind w:firstLine="0"/>
        <w:rPr>
          <w:rFonts w:ascii="Times New Roman" w:hAnsi="Times New Roman"/>
          <w:sz w:val="28"/>
          <w:szCs w:val="28"/>
        </w:rPr>
      </w:pPr>
    </w:p>
    <w:p w:rsidR="00A0073F" w:rsidRPr="002D14D7" w:rsidRDefault="00A0073F" w:rsidP="00A0073F">
      <w:pPr>
        <w:pStyle w:val="a3"/>
        <w:widowControl w:val="0"/>
        <w:tabs>
          <w:tab w:val="left" w:pos="0"/>
        </w:tabs>
        <w:autoSpaceDE w:val="0"/>
        <w:autoSpaceDN w:val="0"/>
        <w:adjustRightInd w:val="0"/>
        <w:jc w:val="center"/>
      </w:pPr>
      <w:r w:rsidRPr="002D14D7">
        <w:t>ПОСТАНОВЛЯЕТ:</w:t>
      </w:r>
    </w:p>
    <w:p w:rsidR="00CD2D55" w:rsidRPr="002F0584" w:rsidRDefault="00CD2D55" w:rsidP="00A0073F">
      <w:pPr>
        <w:pStyle w:val="a3"/>
        <w:widowControl w:val="0"/>
        <w:tabs>
          <w:tab w:val="left" w:pos="0"/>
        </w:tabs>
        <w:autoSpaceDE w:val="0"/>
        <w:autoSpaceDN w:val="0"/>
        <w:adjustRightInd w:val="0"/>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00A0073F">
        <w:t xml:space="preserve">на территории Ярковского   сельского поселения Новохоперского </w:t>
      </w:r>
      <w:r w:rsidRPr="002F0584">
        <w:t xml:space="preserve"> му</w:t>
      </w:r>
      <w:r w:rsidR="00A0073F">
        <w:t xml:space="preserve">ниципального района </w:t>
      </w:r>
      <w:r w:rsidRPr="002F0584">
        <w:t xml:space="preserve"> Воронежской области согласно приложению к настоящему постановлению.</w:t>
      </w:r>
    </w:p>
    <w:p w:rsidR="00CD2D55" w:rsidRPr="002F0584" w:rsidRDefault="00CD2D55" w:rsidP="00A0073F">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 xml:space="preserve">2. </w:t>
      </w:r>
      <w:r w:rsidR="00A0073F" w:rsidRPr="002F0584">
        <w:rPr>
          <w:rFonts w:ascii="Times New Roman" w:hAnsi="Times New Roman"/>
          <w:sz w:val="28"/>
          <w:szCs w:val="28"/>
        </w:rPr>
        <w:t xml:space="preserve">Настоящее постановление вступает в силу со дня его официального опубликования.  </w:t>
      </w:r>
    </w:p>
    <w:p w:rsidR="00A0073F" w:rsidRPr="002F0584" w:rsidRDefault="00637A51" w:rsidP="00A0073F">
      <w:pPr>
        <w:ind w:firstLine="709"/>
        <w:rPr>
          <w:rFonts w:ascii="Times New Roman" w:hAnsi="Times New Roman"/>
          <w:sz w:val="28"/>
          <w:szCs w:val="28"/>
        </w:rPr>
      </w:pPr>
      <w:r w:rsidRPr="002F0584">
        <w:rPr>
          <w:rFonts w:ascii="Times New Roman" w:hAnsi="Times New Roman"/>
          <w:sz w:val="28"/>
          <w:szCs w:val="28"/>
        </w:rPr>
        <w:t xml:space="preserve">3. </w:t>
      </w:r>
      <w:r w:rsidR="00A0073F" w:rsidRPr="002F0584">
        <w:rPr>
          <w:rFonts w:ascii="Times New Roman" w:hAnsi="Times New Roman"/>
          <w:sz w:val="28"/>
          <w:szCs w:val="28"/>
        </w:rPr>
        <w:t xml:space="preserve"> Контроль за исполнением настоящего </w:t>
      </w:r>
      <w:r w:rsidR="00A0073F">
        <w:rPr>
          <w:rFonts w:ascii="Times New Roman" w:hAnsi="Times New Roman"/>
          <w:sz w:val="28"/>
          <w:szCs w:val="28"/>
        </w:rPr>
        <w:t>постановления оставляю за собой</w:t>
      </w:r>
      <w:r w:rsidR="00A0073F" w:rsidRPr="002F0584">
        <w:rPr>
          <w:rFonts w:ascii="Times New Roman" w:hAnsi="Times New Roman"/>
          <w:sz w:val="28"/>
          <w:szCs w:val="28"/>
        </w:rPr>
        <w:t>.</w:t>
      </w:r>
    </w:p>
    <w:p w:rsidR="00637A51" w:rsidRPr="002F0584" w:rsidRDefault="00637A51" w:rsidP="0075123A">
      <w:pPr>
        <w:autoSpaceDE w:val="0"/>
        <w:autoSpaceDN w:val="0"/>
        <w:adjustRightInd w:val="0"/>
        <w:ind w:firstLine="709"/>
        <w:rPr>
          <w:rFonts w:ascii="Times New Roman" w:hAnsi="Times New Roman"/>
          <w:sz w:val="28"/>
          <w:szCs w:val="28"/>
        </w:rPr>
      </w:pPr>
    </w:p>
    <w:p w:rsidR="0039132B" w:rsidRPr="002F0584" w:rsidRDefault="00A0073F" w:rsidP="0039132B">
      <w:pPr>
        <w:ind w:firstLine="709"/>
        <w:rPr>
          <w:rFonts w:ascii="Times New Roman" w:hAnsi="Times New Roman"/>
          <w:sz w:val="28"/>
          <w:szCs w:val="28"/>
        </w:rPr>
      </w:pPr>
      <w:r>
        <w:rPr>
          <w:rFonts w:ascii="Times New Roman" w:hAnsi="Times New Roman"/>
          <w:sz w:val="28"/>
          <w:szCs w:val="28"/>
        </w:rPr>
        <w:t>Глава Ярковского сельского поселения                               О.П.Смирнова</w:t>
      </w:r>
    </w:p>
    <w:p w:rsidR="008B3A5E" w:rsidRPr="002F0584" w:rsidRDefault="008B3A5E" w:rsidP="0075123A">
      <w:pPr>
        <w:ind w:firstLine="709"/>
        <w:rPr>
          <w:rFonts w:ascii="Times New Roman" w:hAnsi="Times New Roman"/>
          <w:sz w:val="28"/>
          <w:szCs w:val="28"/>
        </w:rPr>
      </w:pPr>
    </w:p>
    <w:p w:rsidR="00CD2D55" w:rsidRPr="002F0584" w:rsidRDefault="00CD2D55" w:rsidP="0075123A">
      <w:pPr>
        <w:ind w:hanging="5103"/>
        <w:rPr>
          <w:rFonts w:ascii="Times New Roman" w:hAnsi="Times New Roman"/>
          <w:sz w:val="28"/>
          <w:szCs w:val="28"/>
        </w:rPr>
      </w:pPr>
      <w:r w:rsidRPr="002F0584">
        <w:rPr>
          <w:rFonts w:ascii="Times New Roman" w:hAnsi="Times New Roman"/>
          <w:sz w:val="28"/>
          <w:szCs w:val="28"/>
        </w:rPr>
        <w:lastRenderedPageBreak/>
        <w:t>ожение</w:t>
      </w:r>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Pr="002F0584" w:rsidRDefault="00B1017A" w:rsidP="00455B0C">
      <w:pPr>
        <w:ind w:firstLine="0"/>
        <w:jc w:val="right"/>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A0073F" w:rsidRPr="002F0584" w:rsidRDefault="00A0073F" w:rsidP="00A0073F">
      <w:pPr>
        <w:ind w:firstLine="0"/>
        <w:jc w:val="right"/>
        <w:rPr>
          <w:rFonts w:ascii="Times New Roman" w:hAnsi="Times New Roman"/>
          <w:sz w:val="28"/>
          <w:szCs w:val="28"/>
        </w:rPr>
      </w:pPr>
      <w:r>
        <w:rPr>
          <w:rFonts w:ascii="Times New Roman" w:hAnsi="Times New Roman"/>
          <w:sz w:val="28"/>
          <w:szCs w:val="28"/>
        </w:rPr>
        <w:t xml:space="preserve">                                </w:t>
      </w:r>
      <w:r w:rsidR="00CD2D55" w:rsidRPr="002F0584">
        <w:rPr>
          <w:rFonts w:ascii="Times New Roman" w:hAnsi="Times New Roman"/>
          <w:sz w:val="28"/>
          <w:szCs w:val="28"/>
        </w:rPr>
        <w:t xml:space="preserve"> </w:t>
      </w:r>
      <w:r>
        <w:rPr>
          <w:rFonts w:ascii="Times New Roman" w:hAnsi="Times New Roman"/>
          <w:sz w:val="28"/>
          <w:szCs w:val="28"/>
        </w:rPr>
        <w:t>Ярковского сельского</w:t>
      </w:r>
      <w:r w:rsidRPr="002F0584">
        <w:rPr>
          <w:rFonts w:ascii="Times New Roman" w:hAnsi="Times New Roman"/>
          <w:sz w:val="28"/>
          <w:szCs w:val="28"/>
        </w:rPr>
        <w:t xml:space="preserve"> поселения </w:t>
      </w:r>
    </w:p>
    <w:p w:rsidR="00CD2D55" w:rsidRPr="002F0584" w:rsidRDefault="00A0073F" w:rsidP="00A0073F">
      <w:pPr>
        <w:ind w:firstLine="0"/>
        <w:jc w:val="center"/>
        <w:rPr>
          <w:rFonts w:ascii="Times New Roman" w:hAnsi="Times New Roman"/>
          <w:sz w:val="28"/>
          <w:szCs w:val="28"/>
        </w:rPr>
      </w:pPr>
      <w:r>
        <w:rPr>
          <w:rFonts w:ascii="Times New Roman" w:hAnsi="Times New Roman"/>
          <w:sz w:val="28"/>
          <w:szCs w:val="28"/>
        </w:rPr>
        <w:t xml:space="preserve">                                               Новохоперского</w:t>
      </w:r>
    </w:p>
    <w:p w:rsidR="00CD2D55" w:rsidRPr="002F0584" w:rsidRDefault="00E80B3D" w:rsidP="00E80B3D">
      <w:pPr>
        <w:ind w:firstLine="0"/>
        <w:rPr>
          <w:rFonts w:ascii="Times New Roman" w:hAnsi="Times New Roman"/>
          <w:sz w:val="28"/>
          <w:szCs w:val="28"/>
        </w:rPr>
      </w:pPr>
      <w:r>
        <w:rPr>
          <w:rFonts w:ascii="Times New Roman" w:hAnsi="Times New Roman"/>
          <w:sz w:val="28"/>
          <w:szCs w:val="28"/>
        </w:rPr>
        <w:t xml:space="preserve">                                                                         </w:t>
      </w:r>
      <w:r w:rsidR="00CD2D55" w:rsidRPr="002F0584">
        <w:rPr>
          <w:rFonts w:ascii="Times New Roman" w:hAnsi="Times New Roman"/>
          <w:sz w:val="28"/>
          <w:szCs w:val="28"/>
        </w:rPr>
        <w:t xml:space="preserve"> муниципаль</w:t>
      </w:r>
      <w:r w:rsidR="00A0073F">
        <w:rPr>
          <w:rFonts w:ascii="Times New Roman" w:hAnsi="Times New Roman"/>
          <w:sz w:val="28"/>
          <w:szCs w:val="28"/>
        </w:rPr>
        <w:t xml:space="preserve">ного района </w:t>
      </w:r>
    </w:p>
    <w:p w:rsidR="00CD2D55" w:rsidRPr="002F0584" w:rsidRDefault="00E80B3D" w:rsidP="00E80B3D">
      <w:pPr>
        <w:ind w:firstLine="0"/>
        <w:jc w:val="center"/>
        <w:rPr>
          <w:rFonts w:ascii="Times New Roman" w:hAnsi="Times New Roman"/>
          <w:sz w:val="28"/>
          <w:szCs w:val="28"/>
        </w:rPr>
      </w:pPr>
      <w:r>
        <w:rPr>
          <w:rFonts w:ascii="Times New Roman" w:hAnsi="Times New Roman"/>
          <w:sz w:val="28"/>
          <w:szCs w:val="28"/>
        </w:rPr>
        <w:t xml:space="preserve">                                                        </w:t>
      </w:r>
      <w:r w:rsidR="00CD2D55" w:rsidRPr="002F0584">
        <w:rPr>
          <w:rFonts w:ascii="Times New Roman" w:hAnsi="Times New Roman"/>
          <w:sz w:val="28"/>
          <w:szCs w:val="28"/>
        </w:rPr>
        <w:t xml:space="preserve">Воронежской области </w:t>
      </w:r>
    </w:p>
    <w:p w:rsidR="00CD2D55" w:rsidRPr="002F0584" w:rsidRDefault="00E80B3D" w:rsidP="00455B0C">
      <w:pPr>
        <w:ind w:firstLine="0"/>
        <w:jc w:val="right"/>
        <w:rPr>
          <w:rFonts w:ascii="Times New Roman" w:hAnsi="Times New Roman"/>
          <w:sz w:val="28"/>
          <w:szCs w:val="28"/>
        </w:rPr>
      </w:pPr>
      <w:r>
        <w:rPr>
          <w:rFonts w:ascii="Times New Roman" w:hAnsi="Times New Roman"/>
          <w:sz w:val="28"/>
          <w:szCs w:val="28"/>
        </w:rPr>
        <w:t xml:space="preserve"> от «19 »декабря 2024 г. № 67</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w:t>
      </w:r>
      <w:r w:rsidR="00E80B3D">
        <w:rPr>
          <w:b/>
          <w:i w:val="0"/>
          <w:sz w:val="28"/>
          <w:szCs w:val="28"/>
        </w:rPr>
        <w:t xml:space="preserve">ритории  Ярковского </w:t>
      </w:r>
      <w:r w:rsidRPr="002F0584">
        <w:rPr>
          <w:b/>
          <w:i w:val="0"/>
          <w:sz w:val="28"/>
          <w:szCs w:val="28"/>
        </w:rPr>
        <w:t>сельско</w:t>
      </w:r>
      <w:r w:rsidR="00E80B3D">
        <w:rPr>
          <w:b/>
          <w:i w:val="0"/>
          <w:sz w:val="28"/>
          <w:szCs w:val="28"/>
        </w:rPr>
        <w:t xml:space="preserve">го поселения  Новохоперского </w:t>
      </w:r>
      <w:r w:rsidRPr="002F0584">
        <w:rPr>
          <w:b/>
          <w:i w:val="0"/>
          <w:sz w:val="28"/>
          <w:szCs w:val="28"/>
        </w:rPr>
        <w:t>муниципального района</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w:t>
      </w:r>
      <w:r w:rsidR="00E80B3D">
        <w:rPr>
          <w:sz w:val="28"/>
          <w:szCs w:val="28"/>
        </w:rPr>
        <w:t xml:space="preserve">ацией  Ярковского </w:t>
      </w:r>
      <w:r w:rsidR="00CD2D55" w:rsidRPr="002F0584">
        <w:rPr>
          <w:sz w:val="28"/>
          <w:szCs w:val="28"/>
        </w:rPr>
        <w:t>се</w:t>
      </w:r>
      <w:r w:rsidR="00E80B3D">
        <w:rPr>
          <w:sz w:val="28"/>
          <w:szCs w:val="28"/>
        </w:rPr>
        <w:t xml:space="preserve">льского) поселения Новохоперского </w:t>
      </w:r>
      <w:r w:rsidR="00CD2D55" w:rsidRPr="002F0584">
        <w:rPr>
          <w:sz w:val="28"/>
          <w:szCs w:val="28"/>
        </w:rPr>
        <w:t xml:space="preserve"> муниципального района </w:t>
      </w:r>
      <w:r w:rsidR="00455B0C" w:rsidRPr="002F0584">
        <w:rPr>
          <w:sz w:val="28"/>
          <w:szCs w:val="28"/>
        </w:rPr>
        <w:t>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w:t>
      </w:r>
      <w:r w:rsidR="00E80B3D">
        <w:rPr>
          <w:sz w:val="28"/>
          <w:szCs w:val="28"/>
        </w:rPr>
        <w:t xml:space="preserve">рии Ярковского сельского поселения Новохоперского </w:t>
      </w:r>
      <w:r w:rsidR="00CD2D55" w:rsidRPr="002F0584">
        <w:rPr>
          <w:sz w:val="28"/>
          <w:szCs w:val="28"/>
        </w:rPr>
        <w:t xml:space="preserve"> муниципального района Воронежской области (далее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w:t>
      </w:r>
      <w:r w:rsidR="00CD2D55" w:rsidRPr="002F0584">
        <w:rPr>
          <w:sz w:val="28"/>
          <w:szCs w:val="28"/>
        </w:rPr>
        <w:lastRenderedPageBreak/>
        <w:t xml:space="preserve">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E80B3D">
        <w:rPr>
          <w:sz w:val="28"/>
          <w:szCs w:val="28"/>
        </w:rPr>
        <w:t xml:space="preserve"> Ярковского </w:t>
      </w:r>
      <w:r w:rsidR="00327994" w:rsidRPr="002F0584">
        <w:rPr>
          <w:sz w:val="28"/>
          <w:szCs w:val="28"/>
        </w:rPr>
        <w:t>сельского</w:t>
      </w:r>
      <w:r w:rsidR="00E80B3D">
        <w:rPr>
          <w:sz w:val="28"/>
          <w:szCs w:val="28"/>
        </w:rPr>
        <w:t xml:space="preserve"> поселения Новохоперского </w:t>
      </w:r>
      <w:r w:rsidR="00327994" w:rsidRPr="002F0584">
        <w:rPr>
          <w:sz w:val="28"/>
          <w:szCs w:val="28"/>
        </w:rPr>
        <w:t xml:space="preserve"> муниципального района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E80B3D">
        <w:rPr>
          <w:sz w:val="28"/>
          <w:szCs w:val="28"/>
        </w:rPr>
        <w:t xml:space="preserve"> Ярковского сельского поселения Новохоперского </w:t>
      </w:r>
      <w:r w:rsidR="00327994" w:rsidRPr="002F0584">
        <w:rPr>
          <w:sz w:val="28"/>
          <w:szCs w:val="28"/>
        </w:rPr>
        <w:t xml:space="preserve"> муниципального района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аявителей по вопросу предоставления Муниципальной услуги осуществляется администр</w:t>
      </w:r>
      <w:r w:rsidR="002A5ECF">
        <w:rPr>
          <w:sz w:val="28"/>
          <w:szCs w:val="28"/>
        </w:rPr>
        <w:t>ацией  Ярковского сельского поселения  Новохоперского</w:t>
      </w:r>
      <w:r w:rsidR="00CD2D55" w:rsidRPr="002F0584">
        <w:rPr>
          <w:sz w:val="28"/>
          <w:szCs w:val="28"/>
        </w:rPr>
        <w:t xml:space="preserve"> муниципального района Воронежской области (далее – Администрация) или в МФЦ</w:t>
      </w:r>
      <w:r w:rsidR="00CD2D55" w:rsidRPr="002F0584">
        <w:rPr>
          <w:b/>
          <w:sz w:val="28"/>
          <w:szCs w:val="28"/>
        </w:rPr>
        <w:t>.</w:t>
      </w:r>
    </w:p>
    <w:p w:rsidR="00AA60B4" w:rsidRPr="00AA60B4" w:rsidRDefault="00E206B4" w:rsidP="00AA60B4">
      <w:r w:rsidRPr="002F0584">
        <w:rPr>
          <w:rFonts w:ascii="Times New Roman" w:hAnsi="Times New Roman"/>
          <w:spacing w:val="7"/>
          <w:sz w:val="28"/>
          <w:szCs w:val="28"/>
        </w:rPr>
        <w:t>3.2. На официальном са</w:t>
      </w:r>
      <w:r w:rsidR="002A5ECF">
        <w:rPr>
          <w:rFonts w:ascii="Times New Roman" w:hAnsi="Times New Roman"/>
          <w:spacing w:val="7"/>
          <w:sz w:val="28"/>
          <w:szCs w:val="28"/>
        </w:rPr>
        <w:t>йте Администрации Ярковского сельского поселения</w:t>
      </w:r>
      <w:r w:rsidR="00AA60B4">
        <w:rPr>
          <w:rFonts w:ascii="Times New Roman" w:hAnsi="Times New Roman"/>
          <w:spacing w:val="7"/>
          <w:sz w:val="28"/>
          <w:szCs w:val="28"/>
        </w:rPr>
        <w:t>(http://</w:t>
      </w:r>
      <w:r w:rsidR="00AA60B4" w:rsidRPr="00AA60B4">
        <w:t xml:space="preserve"> </w:t>
      </w:r>
      <w:r w:rsidR="00AA60B4" w:rsidRPr="00C5171F">
        <w:rPr>
          <w:rFonts w:ascii="Times New Roman" w:hAnsi="Times New Roman"/>
          <w:sz w:val="28"/>
          <w:szCs w:val="28"/>
          <w:lang w:val="en-US"/>
        </w:rPr>
        <w:t>yarkovskoe</w:t>
      </w:r>
      <w:r w:rsidR="00AA60B4" w:rsidRPr="00C5171F">
        <w:rPr>
          <w:rFonts w:ascii="Times New Roman" w:hAnsi="Times New Roman"/>
          <w:sz w:val="28"/>
          <w:szCs w:val="28"/>
        </w:rPr>
        <w:t>-</w:t>
      </w:r>
      <w:r w:rsidR="00AA60B4" w:rsidRPr="00C5171F">
        <w:rPr>
          <w:rFonts w:ascii="Times New Roman" w:hAnsi="Times New Roman"/>
          <w:sz w:val="28"/>
          <w:szCs w:val="28"/>
          <w:lang w:val="en-US"/>
        </w:rPr>
        <w:t>r</w:t>
      </w:r>
      <w:r w:rsidR="00AA60B4" w:rsidRPr="00C5171F">
        <w:rPr>
          <w:rFonts w:ascii="Times New Roman" w:hAnsi="Times New Roman"/>
          <w:sz w:val="28"/>
          <w:szCs w:val="28"/>
        </w:rPr>
        <w:t>20.</w:t>
      </w:r>
      <w:r w:rsidR="00AA60B4" w:rsidRPr="00C5171F">
        <w:rPr>
          <w:rFonts w:ascii="Times New Roman" w:hAnsi="Times New Roman"/>
          <w:sz w:val="28"/>
          <w:szCs w:val="28"/>
          <w:lang w:val="en-US"/>
        </w:rPr>
        <w:t>gosweb</w:t>
      </w:r>
      <w:r w:rsidR="00AA60B4" w:rsidRPr="00C5171F">
        <w:rPr>
          <w:rFonts w:ascii="Times New Roman" w:hAnsi="Times New Roman"/>
          <w:sz w:val="28"/>
          <w:szCs w:val="28"/>
        </w:rPr>
        <w:t>.</w:t>
      </w:r>
      <w:r w:rsidR="00AA60B4" w:rsidRPr="00C5171F">
        <w:rPr>
          <w:rFonts w:ascii="Times New Roman" w:hAnsi="Times New Roman"/>
          <w:sz w:val="28"/>
          <w:szCs w:val="28"/>
          <w:lang w:val="en-US"/>
        </w:rPr>
        <w:t>gosuslugi</w:t>
      </w:r>
      <w:r w:rsidR="00AA60B4" w:rsidRPr="00C5171F">
        <w:rPr>
          <w:rFonts w:ascii="Times New Roman" w:hAnsi="Times New Roman"/>
          <w:sz w:val="28"/>
          <w:szCs w:val="28"/>
        </w:rPr>
        <w:t>.</w:t>
      </w:r>
      <w:r w:rsidR="00AA60B4" w:rsidRPr="00C5171F">
        <w:rPr>
          <w:rFonts w:ascii="Times New Roman" w:hAnsi="Times New Roman"/>
          <w:sz w:val="28"/>
          <w:szCs w:val="28"/>
          <w:lang w:val="en-US"/>
        </w:rPr>
        <w:t>ru</w:t>
      </w:r>
      <w:r w:rsidR="00AA60B4" w:rsidRPr="00AA60B4">
        <w:t>/</w:t>
      </w:r>
    </w:p>
    <w:p w:rsidR="00E206B4" w:rsidRPr="002F0584" w:rsidRDefault="00C5171F" w:rsidP="00E206B4">
      <w:pPr>
        <w:tabs>
          <w:tab w:val="left" w:pos="1134"/>
        </w:tabs>
        <w:rPr>
          <w:rFonts w:ascii="Times New Roman" w:hAnsi="Times New Roman"/>
          <w:spacing w:val="7"/>
          <w:sz w:val="28"/>
          <w:szCs w:val="28"/>
        </w:rPr>
      </w:pPr>
      <w:r>
        <w:rPr>
          <w:rFonts w:ascii="Times New Roman" w:hAnsi="Times New Roman"/>
          <w:spacing w:val="7"/>
          <w:sz w:val="28"/>
          <w:szCs w:val="28"/>
        </w:rPr>
        <w:t xml:space="preserve">   </w:t>
      </w:r>
      <w:r w:rsidR="00E206B4"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00E206B4" w:rsidRPr="002F0584">
        <w:rPr>
          <w:rFonts w:ascii="Times New Roman" w:hAnsi="Times New Roman"/>
          <w:spacing w:val="7"/>
          <w:sz w:val="28"/>
          <w:szCs w:val="28"/>
        </w:rPr>
        <w:lastRenderedPageBreak/>
        <w:t xml:space="preserve">государственных и муниципальных услуг (функций)», расположенной в сети Интернет по адресу: </w:t>
      </w:r>
      <w:hyperlink r:id="rId8" w:history="1">
        <w:r w:rsidR="00E206B4" w:rsidRPr="002F0584">
          <w:rPr>
            <w:rStyle w:val="aa"/>
            <w:rFonts w:ascii="Times New Roman" w:hAnsi="Times New Roman"/>
            <w:color w:val="auto"/>
            <w:spacing w:val="7"/>
            <w:sz w:val="28"/>
            <w:szCs w:val="28"/>
            <w:u w:val="none"/>
            <w:lang w:val="en-US"/>
          </w:rPr>
          <w:t>www</w:t>
        </w:r>
        <w:r w:rsidR="00E206B4" w:rsidRPr="002F0584">
          <w:rPr>
            <w:rStyle w:val="aa"/>
            <w:rFonts w:ascii="Times New Roman" w:hAnsi="Times New Roman"/>
            <w:color w:val="auto"/>
            <w:spacing w:val="7"/>
            <w:sz w:val="28"/>
            <w:szCs w:val="28"/>
            <w:u w:val="none"/>
          </w:rPr>
          <w:t>.</w:t>
        </w:r>
        <w:r w:rsidR="00E206B4" w:rsidRPr="002F0584">
          <w:rPr>
            <w:rStyle w:val="aa"/>
            <w:rFonts w:ascii="Times New Roman" w:hAnsi="Times New Roman"/>
            <w:color w:val="auto"/>
            <w:spacing w:val="7"/>
            <w:sz w:val="28"/>
            <w:szCs w:val="28"/>
            <w:u w:val="none"/>
            <w:lang w:val="en-US"/>
          </w:rPr>
          <w:t>gosuslugi</w:t>
        </w:r>
        <w:r w:rsidR="00E206B4" w:rsidRPr="002F0584">
          <w:rPr>
            <w:rStyle w:val="aa"/>
            <w:rFonts w:ascii="Times New Roman" w:hAnsi="Times New Roman"/>
            <w:color w:val="auto"/>
            <w:spacing w:val="7"/>
            <w:sz w:val="28"/>
            <w:szCs w:val="28"/>
            <w:u w:val="none"/>
          </w:rPr>
          <w:t>.</w:t>
        </w:r>
        <w:r w:rsidR="00E206B4" w:rsidRPr="002F0584">
          <w:rPr>
            <w:rStyle w:val="aa"/>
            <w:rFonts w:ascii="Times New Roman" w:hAnsi="Times New Roman"/>
            <w:color w:val="auto"/>
            <w:spacing w:val="7"/>
            <w:sz w:val="28"/>
            <w:szCs w:val="28"/>
            <w:u w:val="none"/>
            <w:lang w:val="en-US"/>
          </w:rPr>
          <w:t>ru</w:t>
        </w:r>
      </w:hyperlink>
      <w:r w:rsidR="00E206B4"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00E206B4"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00E206B4" w:rsidRPr="002F0584">
          <w:rPr>
            <w:rStyle w:val="aa"/>
            <w:rFonts w:ascii="Times New Roman" w:hAnsi="Times New Roman"/>
            <w:color w:val="auto"/>
            <w:spacing w:val="7"/>
            <w:sz w:val="28"/>
            <w:szCs w:val="28"/>
            <w:u w:val="none"/>
            <w:lang w:val="en-US"/>
          </w:rPr>
          <w:t>www</w:t>
        </w:r>
        <w:r w:rsidR="00E206B4" w:rsidRPr="002F0584">
          <w:rPr>
            <w:rStyle w:val="aa"/>
            <w:rFonts w:ascii="Times New Roman" w:hAnsi="Times New Roman"/>
            <w:color w:val="auto"/>
            <w:spacing w:val="7"/>
            <w:sz w:val="28"/>
            <w:szCs w:val="28"/>
            <w:u w:val="none"/>
          </w:rPr>
          <w:t>.</w:t>
        </w:r>
        <w:r w:rsidR="00E206B4" w:rsidRPr="002F0584">
          <w:rPr>
            <w:rStyle w:val="aa"/>
            <w:rFonts w:ascii="Times New Roman" w:hAnsi="Times New Roman"/>
            <w:color w:val="auto"/>
            <w:spacing w:val="7"/>
            <w:sz w:val="28"/>
            <w:szCs w:val="28"/>
            <w:u w:val="none"/>
            <w:lang w:val="en-US"/>
          </w:rPr>
          <w:t>govvrn</w:t>
        </w:r>
        <w:r w:rsidR="00E206B4" w:rsidRPr="002F0584">
          <w:rPr>
            <w:rStyle w:val="aa"/>
            <w:rFonts w:ascii="Times New Roman" w:hAnsi="Times New Roman"/>
            <w:color w:val="auto"/>
            <w:spacing w:val="7"/>
            <w:sz w:val="28"/>
            <w:szCs w:val="28"/>
            <w:u w:val="none"/>
          </w:rPr>
          <w:t>.</w:t>
        </w:r>
        <w:r w:rsidR="00E206B4"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00E206B4"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w:t>
      </w:r>
      <w:r w:rsidR="00F368AD">
        <w:rPr>
          <w:rFonts w:ascii="Times New Roman" w:hAnsi="Times New Roman"/>
          <w:spacing w:val="7"/>
          <w:sz w:val="28"/>
          <w:szCs w:val="28"/>
        </w:rPr>
        <w:t>я и график работы Администрации:Воронежская область,Новохоперский район,с.Ярки,ул.Свобода,д.53,график работы: с 8 ч.до 16 ч.перерыв с 12 ч до 13 ч.,выходные суббота,воскресенье.</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w:t>
      </w:r>
      <w:r w:rsidR="00F368AD">
        <w:rPr>
          <w:rFonts w:ascii="Times New Roman" w:hAnsi="Times New Roman"/>
          <w:spacing w:val="7"/>
          <w:sz w:val="28"/>
          <w:szCs w:val="28"/>
        </w:rPr>
        <w:t>лефоны Администрации-</w:t>
      </w:r>
      <w:r w:rsidR="00F368AD" w:rsidRPr="00F368AD">
        <w:rPr>
          <w:rFonts w:ascii="Times New Roman" w:hAnsi="Times New Roman"/>
          <w:spacing w:val="7"/>
          <w:sz w:val="28"/>
          <w:szCs w:val="28"/>
        </w:rPr>
        <w:t xml:space="preserve"> </w:t>
      </w:r>
      <w:r w:rsidR="00F368AD">
        <w:rPr>
          <w:rFonts w:ascii="Times New Roman" w:hAnsi="Times New Roman"/>
          <w:spacing w:val="7"/>
          <w:sz w:val="28"/>
          <w:szCs w:val="28"/>
        </w:rPr>
        <w:t>телефон 8(47353)57-125</w:t>
      </w:r>
    </w:p>
    <w:p w:rsidR="00F368AD" w:rsidRPr="00F368AD" w:rsidRDefault="00E206B4" w:rsidP="00F368AD">
      <w:r w:rsidRPr="002F0584">
        <w:rPr>
          <w:rFonts w:ascii="Times New Roman" w:hAnsi="Times New Roman"/>
          <w:spacing w:val="7"/>
          <w:sz w:val="28"/>
          <w:szCs w:val="28"/>
        </w:rPr>
        <w:t>адреса о</w:t>
      </w:r>
      <w:r w:rsidR="00F368AD">
        <w:rPr>
          <w:rFonts w:ascii="Times New Roman" w:hAnsi="Times New Roman"/>
          <w:spacing w:val="7"/>
          <w:sz w:val="28"/>
          <w:szCs w:val="28"/>
        </w:rPr>
        <w:t>фициального сайта-</w:t>
      </w:r>
      <w:r w:rsidR="00F368AD" w:rsidRPr="00F368AD">
        <w:t xml:space="preserve"> </w:t>
      </w:r>
      <w:r w:rsidR="00F368AD">
        <w:rPr>
          <w:lang w:val="en-US"/>
        </w:rPr>
        <w:t>Yarkovskoe</w:t>
      </w:r>
      <w:r w:rsidR="00F368AD" w:rsidRPr="00F368AD">
        <w:t>-</w:t>
      </w:r>
      <w:r w:rsidR="00F368AD">
        <w:rPr>
          <w:lang w:val="en-US"/>
        </w:rPr>
        <w:t>r</w:t>
      </w:r>
      <w:r w:rsidR="00F368AD" w:rsidRPr="00F368AD">
        <w:t>20.</w:t>
      </w:r>
      <w:r w:rsidR="00F368AD">
        <w:rPr>
          <w:lang w:val="en-US"/>
        </w:rPr>
        <w:t>gosweb</w:t>
      </w:r>
      <w:r w:rsidR="00F368AD" w:rsidRPr="00F368AD">
        <w:t>.</w:t>
      </w:r>
      <w:r w:rsidR="00F368AD">
        <w:rPr>
          <w:lang w:val="en-US"/>
        </w:rPr>
        <w:t>gosuslugi</w:t>
      </w:r>
      <w:r w:rsidR="00F368AD" w:rsidRPr="00F368AD">
        <w:t>.</w:t>
      </w:r>
      <w:r w:rsidR="00F368AD">
        <w:rPr>
          <w:lang w:val="en-US"/>
        </w:rPr>
        <w:t>ru</w:t>
      </w:r>
    </w:p>
    <w:p w:rsidR="00E206B4" w:rsidRPr="00F368AD" w:rsidRDefault="00E206B4" w:rsidP="00F368AD">
      <w:pPr>
        <w:tabs>
          <w:tab w:val="left" w:pos="952"/>
        </w:tabs>
        <w:ind w:firstLine="0"/>
        <w:rPr>
          <w:rFonts w:ascii="Times New Roman" w:hAnsi="Times New Roman"/>
          <w:spacing w:val="7"/>
          <w:sz w:val="28"/>
          <w:szCs w:val="28"/>
        </w:rPr>
      </w:pP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Pr="002F0584">
        <w:rPr>
          <w:rFonts w:ascii="Times New Roman" w:eastAsia="Calibr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CB5870">
      <w:pPr>
        <w:widowControl w:val="0"/>
        <w:tabs>
          <w:tab w:val="left" w:pos="1945"/>
        </w:tabs>
        <w:rPr>
          <w:rFonts w:ascii="Times New Roman" w:hAnsi="Times New Roman"/>
          <w:i/>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w:t>
      </w:r>
      <w:r w:rsidRPr="002F0584">
        <w:rPr>
          <w:rFonts w:ascii="Times New Roman" w:hAnsi="Times New Roman"/>
          <w:sz w:val="28"/>
          <w:szCs w:val="28"/>
        </w:rPr>
        <w:lastRenderedPageBreak/>
        <w:t>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w:t>
      </w:r>
      <w:r w:rsidR="00CB5870">
        <w:rPr>
          <w:rFonts w:ascii="Times New Roman" w:hAnsi="Times New Roman"/>
          <w:sz w:val="28"/>
          <w:szCs w:val="28"/>
        </w:rPr>
        <w:t xml:space="preserve">твержденным  </w:t>
      </w:r>
      <w:r w:rsidR="002F0584" w:rsidRPr="002F0584">
        <w:rPr>
          <w:rFonts w:ascii="Times New Roman" w:hAnsi="Times New Roman"/>
          <w:sz w:val="28"/>
          <w:szCs w:val="28"/>
        </w:rPr>
        <w:t>постановлением а</w:t>
      </w:r>
      <w:r w:rsidR="00CB5870">
        <w:rPr>
          <w:rFonts w:ascii="Times New Roman" w:hAnsi="Times New Roman"/>
          <w:sz w:val="28"/>
          <w:szCs w:val="28"/>
        </w:rPr>
        <w:t>дминистрации</w:t>
      </w:r>
      <w:r w:rsidR="00F4733D">
        <w:rPr>
          <w:rFonts w:ascii="Times New Roman" w:hAnsi="Times New Roman"/>
          <w:sz w:val="28"/>
          <w:szCs w:val="28"/>
        </w:rPr>
        <w:t xml:space="preserve"> Ярковского сельского поселения Новохоперского </w:t>
      </w:r>
      <w:r w:rsidRPr="002F0584">
        <w:rPr>
          <w:rFonts w:ascii="Times New Roman" w:hAnsi="Times New Roman"/>
          <w:sz w:val="28"/>
          <w:szCs w:val="28"/>
        </w:rPr>
        <w:t xml:space="preserve"> муниципального района Воронежской области «Об утверждении перечня услуг,</w:t>
      </w:r>
      <w:r w:rsidR="0069126E">
        <w:rPr>
          <w:rFonts w:ascii="Times New Roman" w:hAnsi="Times New Roman"/>
          <w:sz w:val="28"/>
          <w:szCs w:val="28"/>
        </w:rPr>
        <w:t xml:space="preserve"> № 66</w:t>
      </w:r>
      <w:r w:rsidR="00CB5870">
        <w:rPr>
          <w:rFonts w:ascii="Times New Roman" w:hAnsi="Times New Roman"/>
          <w:sz w:val="28"/>
          <w:szCs w:val="28"/>
        </w:rPr>
        <w:t xml:space="preserve"> от 19.12.2024 года.</w:t>
      </w:r>
      <w:r w:rsidRPr="002F0584">
        <w:rPr>
          <w:rFonts w:ascii="Times New Roman" w:hAnsi="Times New Roman"/>
          <w:sz w:val="28"/>
          <w:szCs w:val="28"/>
        </w:rPr>
        <w:t xml:space="preserve"> </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В целях предоставления Муниципальной услуги Администрация  взаимодействует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lastRenderedPageBreak/>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FA59C3"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FA59C3" w:rsidRDefault="00FA59C3" w:rsidP="00FA59C3">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7.3</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5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rsidR="00FA59C3" w:rsidRDefault="00FA59C3" w:rsidP="00FA59C3">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A59C3" w:rsidRPr="004321A2" w:rsidRDefault="00FA59C3" w:rsidP="00FA59C3">
      <w:pPr>
        <w:tabs>
          <w:tab w:val="left" w:pos="0"/>
        </w:tabs>
        <w:autoSpaceDE w:val="0"/>
        <w:autoSpaceDN w:val="0"/>
        <w:adjustRightInd w:val="0"/>
        <w:rPr>
          <w:rFonts w:ascii="Times New Roman" w:hAnsi="Times New Roman"/>
          <w:sz w:val="28"/>
          <w:szCs w:val="28"/>
        </w:rPr>
      </w:pPr>
      <w:r w:rsidRPr="004321A2">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FA59C3" w:rsidRPr="00997878" w:rsidRDefault="00FA59C3" w:rsidP="00FA59C3">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Совокупный срок </w:t>
      </w:r>
      <w:r w:rsidRPr="00997878">
        <w:rPr>
          <w:rFonts w:ascii="Times New Roman" w:hAnsi="Times New Roman"/>
          <w:sz w:val="28"/>
          <w:szCs w:val="28"/>
        </w:rPr>
        <w:t xml:space="preserve">исполнения административных </w:t>
      </w:r>
      <w:r>
        <w:rPr>
          <w:rFonts w:ascii="Times New Roman" w:hAnsi="Times New Roman"/>
          <w:sz w:val="28"/>
          <w:szCs w:val="28"/>
        </w:rPr>
        <w:t xml:space="preserve">процедур, установленных </w:t>
      </w:r>
      <w:r w:rsidRPr="00997878">
        <w:rPr>
          <w:rFonts w:ascii="Times New Roman" w:hAnsi="Times New Roman"/>
          <w:sz w:val="28"/>
          <w:szCs w:val="28"/>
        </w:rPr>
        <w:t>настоящ</w:t>
      </w:r>
      <w:r>
        <w:rPr>
          <w:rFonts w:ascii="Times New Roman" w:hAnsi="Times New Roman"/>
          <w:sz w:val="28"/>
          <w:szCs w:val="28"/>
        </w:rPr>
        <w:t>им</w:t>
      </w:r>
      <w:r w:rsidRPr="00997878">
        <w:rPr>
          <w:rFonts w:ascii="Times New Roman" w:hAnsi="Times New Roman"/>
          <w:sz w:val="28"/>
          <w:szCs w:val="28"/>
        </w:rPr>
        <w:t xml:space="preserve"> 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 xml:space="preserve">егламентом, не должен превышать </w:t>
      </w:r>
      <w:r w:rsidRPr="00997878">
        <w:rPr>
          <w:rFonts w:ascii="Times New Roman" w:hAnsi="Times New Roman"/>
          <w:sz w:val="28"/>
          <w:szCs w:val="28"/>
        </w:rPr>
        <w:t>5 (пят</w:t>
      </w:r>
      <w:r>
        <w:rPr>
          <w:rFonts w:ascii="Times New Roman" w:hAnsi="Times New Roman"/>
          <w:sz w:val="28"/>
          <w:szCs w:val="28"/>
        </w:rPr>
        <w:t>и</w:t>
      </w:r>
      <w:r w:rsidRPr="00997878">
        <w:rPr>
          <w:rFonts w:ascii="Times New Roman" w:hAnsi="Times New Roman"/>
          <w:sz w:val="28"/>
          <w:szCs w:val="28"/>
        </w:rPr>
        <w:t>) рабочих дней со дня поступления в Администрацию документов от Заявителя.</w:t>
      </w:r>
    </w:p>
    <w:p w:rsidR="00FA59C3" w:rsidRPr="002F0584" w:rsidRDefault="00FA59C3" w:rsidP="00FA59C3">
      <w:pPr>
        <w:widowControl w:val="0"/>
        <w:tabs>
          <w:tab w:val="left" w:pos="1276"/>
          <w:tab w:val="left" w:pos="1945"/>
        </w:tabs>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A59C3" w:rsidRDefault="00FA59C3" w:rsidP="00A51ADC">
      <w:pPr>
        <w:pStyle w:val="90"/>
        <w:shd w:val="clear" w:color="auto" w:fill="auto"/>
        <w:tabs>
          <w:tab w:val="left" w:pos="0"/>
        </w:tabs>
        <w:spacing w:after="0" w:line="240" w:lineRule="auto"/>
        <w:ind w:firstLine="567"/>
        <w:jc w:val="center"/>
        <w:rPr>
          <w:b/>
          <w:i w:val="0"/>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lastRenderedPageBreak/>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0E4A87">
        <w:rPr>
          <w:rFonts w:ascii="Times New Roman" w:hAnsi="Times New Roman"/>
          <w:sz w:val="28"/>
          <w:szCs w:val="28"/>
        </w:rPr>
        <w:t xml:space="preserve"> Ярковского сельского поселения сельского поселения Новохоперского </w:t>
      </w:r>
      <w:r w:rsidR="00A23FF2" w:rsidRPr="002F0584">
        <w:rPr>
          <w:rFonts w:ascii="Times New Roman" w:hAnsi="Times New Roman"/>
          <w:sz w:val="28"/>
          <w:szCs w:val="28"/>
        </w:rPr>
        <w:t xml:space="preserve"> 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0E4A87">
        <w:rPr>
          <w:rFonts w:ascii="Times New Roman" w:hAnsi="Times New Roman"/>
          <w:sz w:val="28"/>
          <w:szCs w:val="28"/>
        </w:rPr>
        <w:t xml:space="preserve">Ярковского сельского поселения Новохоперского </w:t>
      </w:r>
      <w:r w:rsidRPr="002F0584">
        <w:rPr>
          <w:rFonts w:ascii="Times New Roman" w:hAnsi="Times New Roman"/>
          <w:sz w:val="28"/>
          <w:szCs w:val="28"/>
        </w:rPr>
        <w:t xml:space="preserve">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A4820" w:rsidRPr="00233379" w:rsidRDefault="009A57FA" w:rsidP="00CA4820">
      <w:pPr>
        <w:rPr>
          <w:rFonts w:ascii="Times New Roman" w:hAnsi="Times New Roman"/>
        </w:rPr>
      </w:pPr>
      <w:r w:rsidRPr="00233379">
        <w:rPr>
          <w:rFonts w:ascii="Times New Roman" w:hAnsi="Times New Roman"/>
          <w:sz w:val="28"/>
          <w:szCs w:val="28"/>
        </w:rPr>
        <w:tab/>
        <w:t xml:space="preserve">8.2. </w:t>
      </w:r>
      <w:r w:rsidR="00CD2D55" w:rsidRPr="00233379">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CA4820" w:rsidRPr="00233379">
        <w:rPr>
          <w:rFonts w:ascii="Times New Roman" w:hAnsi="Times New Roman"/>
          <w:sz w:val="28"/>
          <w:szCs w:val="28"/>
        </w:rPr>
        <w:t xml:space="preserve"> по адресу http://</w:t>
      </w:r>
      <w:r w:rsidR="00CA4820" w:rsidRPr="00233379">
        <w:rPr>
          <w:rFonts w:ascii="Times New Roman" w:hAnsi="Times New Roman"/>
        </w:rPr>
        <w:t xml:space="preserve"> </w:t>
      </w:r>
      <w:r w:rsidR="00CA4820" w:rsidRPr="00233379">
        <w:rPr>
          <w:rFonts w:ascii="Times New Roman" w:hAnsi="Times New Roman"/>
          <w:lang w:val="en-US"/>
        </w:rPr>
        <w:t>Yarkovskoe</w:t>
      </w:r>
      <w:r w:rsidR="00CA4820" w:rsidRPr="00233379">
        <w:rPr>
          <w:rFonts w:ascii="Times New Roman" w:hAnsi="Times New Roman"/>
        </w:rPr>
        <w:t>-</w:t>
      </w:r>
      <w:r w:rsidR="00CA4820" w:rsidRPr="00233379">
        <w:rPr>
          <w:rFonts w:ascii="Times New Roman" w:hAnsi="Times New Roman"/>
          <w:lang w:val="en-US"/>
        </w:rPr>
        <w:t>r</w:t>
      </w:r>
      <w:r w:rsidR="00CA4820" w:rsidRPr="00233379">
        <w:rPr>
          <w:rFonts w:ascii="Times New Roman" w:hAnsi="Times New Roman"/>
        </w:rPr>
        <w:t>20.</w:t>
      </w:r>
      <w:r w:rsidR="00CA4820" w:rsidRPr="00233379">
        <w:rPr>
          <w:rFonts w:ascii="Times New Roman" w:hAnsi="Times New Roman"/>
          <w:lang w:val="en-US"/>
        </w:rPr>
        <w:t>gosweb</w:t>
      </w:r>
      <w:r w:rsidR="00CA4820" w:rsidRPr="00233379">
        <w:rPr>
          <w:rFonts w:ascii="Times New Roman" w:hAnsi="Times New Roman"/>
        </w:rPr>
        <w:t>.</w:t>
      </w:r>
      <w:r w:rsidR="00CA4820" w:rsidRPr="00233379">
        <w:rPr>
          <w:rFonts w:ascii="Times New Roman" w:hAnsi="Times New Roman"/>
          <w:lang w:val="en-US"/>
        </w:rPr>
        <w:t>gosuslugi</w:t>
      </w:r>
      <w:r w:rsidR="00CA4820" w:rsidRPr="00233379">
        <w:rPr>
          <w:rFonts w:ascii="Times New Roman" w:hAnsi="Times New Roman"/>
        </w:rPr>
        <w:t>.</w:t>
      </w:r>
      <w:r w:rsidR="00CA4820" w:rsidRPr="00233379">
        <w:rPr>
          <w:rFonts w:ascii="Times New Roman" w:hAnsi="Times New Roman"/>
          <w:lang w:val="en-US"/>
        </w:rPr>
        <w:t>ru</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r w:rsidRPr="002F0584">
        <w:rPr>
          <w:i/>
          <w:sz w:val="28"/>
          <w:szCs w:val="28"/>
        </w:rPr>
        <w:t>.</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w:t>
      </w:r>
      <w:r w:rsidRPr="002F0584">
        <w:rPr>
          <w:i w:val="0"/>
          <w:sz w:val="28"/>
          <w:szCs w:val="28"/>
        </w:rPr>
        <w:lastRenderedPageBreak/>
        <w:t>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lastRenderedPageBreak/>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w:t>
      </w:r>
      <w:r w:rsidR="00CB5870">
        <w:rPr>
          <w:rFonts w:ascii="Times New Roman" w:hAnsi="Times New Roman"/>
          <w:bCs/>
          <w:sz w:val="28"/>
          <w:szCs w:val="28"/>
        </w:rPr>
        <w:t xml:space="preserve">Ярковского сельского поселения </w:t>
      </w:r>
      <w:r w:rsidR="0016562C" w:rsidRPr="002F0584">
        <w:rPr>
          <w:rFonts w:ascii="Times New Roman" w:hAnsi="Times New Roman"/>
          <w:bCs/>
          <w:sz w:val="28"/>
          <w:szCs w:val="28"/>
        </w:rPr>
        <w:t xml:space="preserve"> </w:t>
      </w:r>
      <w:r w:rsidRPr="002F0584">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w:t>
      </w:r>
      <w:r w:rsidRPr="002F0584">
        <w:rPr>
          <w:rFonts w:ascii="Times New Roman" w:hAnsi="Times New Roman"/>
          <w:bCs/>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w:t>
      </w:r>
      <w:r w:rsidRPr="002F0584">
        <w:rPr>
          <w:rFonts w:ascii="Times New Roman" w:eastAsia="Calibri" w:hAnsi="Times New Roman"/>
          <w:sz w:val="28"/>
          <w:szCs w:val="28"/>
        </w:rPr>
        <w:lastRenderedPageBreak/>
        <w:t>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w:t>
      </w:r>
      <w:r w:rsidRPr="002F0584">
        <w:rPr>
          <w:sz w:val="28"/>
          <w:szCs w:val="28"/>
        </w:rPr>
        <w:lastRenderedPageBreak/>
        <w:t xml:space="preserve">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lastRenderedPageBreak/>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2F0584">
        <w:rPr>
          <w:rFonts w:ascii="Times New Roman" w:hAnsi="Times New Roman"/>
          <w:sz w:val="28"/>
          <w:szCs w:val="28"/>
        </w:rPr>
        <w:lastRenderedPageBreak/>
        <w:t>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w:t>
      </w:r>
      <w:r w:rsidRPr="002F0584">
        <w:rPr>
          <w:rFonts w:cs="Times New Roman"/>
          <w:color w:val="auto"/>
          <w:szCs w:val="28"/>
        </w:rPr>
        <w:lastRenderedPageBreak/>
        <w:t>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w:t>
      </w:r>
      <w:r w:rsidRPr="002F0584">
        <w:rPr>
          <w:rFonts w:ascii="Times New Roman" w:hAnsi="Times New Roman"/>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bookmarkStart w:id="3" w:name="_GoBack"/>
      <w:bookmarkEnd w:id="3"/>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в порядке, утвержденном постановлением </w:t>
      </w:r>
      <w:r w:rsidRPr="002F0584">
        <w:rPr>
          <w:rFonts w:ascii="Times New Roman" w:hAnsi="Times New Roman"/>
          <w:sz w:val="28"/>
          <w:szCs w:val="28"/>
        </w:rPr>
        <w:lastRenderedPageBreak/>
        <w:t>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lastRenderedPageBreak/>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и документов, указанных в </w:t>
      </w:r>
      <w:hyperlink r:id="rId15"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2F0584">
        <w:rPr>
          <w:rFonts w:ascii="Times New Roman" w:hAnsi="Times New Roman"/>
          <w:sz w:val="28"/>
          <w:szCs w:val="28"/>
        </w:rPr>
        <w:lastRenderedPageBreak/>
        <w:t xml:space="preserve">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D11889" w:rsidRPr="002F0584" w:rsidRDefault="00D11889" w:rsidP="000B210A">
      <w:pPr>
        <w:pStyle w:val="21"/>
        <w:shd w:val="clear" w:color="auto" w:fill="auto"/>
        <w:tabs>
          <w:tab w:val="left" w:pos="0"/>
          <w:tab w:val="left" w:pos="1123"/>
        </w:tabs>
        <w:spacing w:before="0" w:after="0" w:line="240" w:lineRule="auto"/>
        <w:ind w:firstLine="567"/>
        <w:rPr>
          <w:bCs/>
          <w:sz w:val="28"/>
          <w:szCs w:val="28"/>
        </w:rPr>
      </w:pPr>
      <w:r w:rsidRPr="00872D4B">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872D4B">
          <w:rPr>
            <w:sz w:val="28"/>
            <w:szCs w:val="28"/>
          </w:rPr>
          <w:t>статьей 11</w:t>
        </w:r>
      </w:hyperlink>
      <w:r w:rsidRPr="00872D4B">
        <w:rPr>
          <w:sz w:val="28"/>
          <w:szCs w:val="28"/>
        </w:rPr>
        <w:t xml:space="preserve"> указанного Федерального закона.</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w:t>
      </w:r>
      <w:r w:rsidRPr="002F0584">
        <w:rPr>
          <w:rFonts w:ascii="Times New Roman" w:hAnsi="Times New Roman"/>
          <w:sz w:val="28"/>
          <w:szCs w:val="28"/>
        </w:rPr>
        <w:lastRenderedPageBreak/>
        <w:t xml:space="preserve">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w:t>
      </w:r>
      <w:r w:rsidRPr="002F0584">
        <w:rPr>
          <w:rFonts w:ascii="Times New Roman" w:hAnsi="Times New Roman"/>
          <w:sz w:val="28"/>
          <w:szCs w:val="28"/>
        </w:rPr>
        <w:lastRenderedPageBreak/>
        <w:t>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w:t>
      </w:r>
      <w:r w:rsidRPr="002F0584">
        <w:rPr>
          <w:rFonts w:ascii="Times New Roman" w:hAnsi="Times New Roman"/>
          <w:sz w:val="28"/>
          <w:szCs w:val="28"/>
        </w:rPr>
        <w:lastRenderedPageBreak/>
        <w:t xml:space="preserve">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lastRenderedPageBreak/>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w:t>
      </w:r>
      <w:r w:rsidR="00CA4820">
        <w:rPr>
          <w:rFonts w:ascii="Times New Roman" w:hAnsi="Times New Roman"/>
          <w:sz w:val="28"/>
          <w:szCs w:val="28"/>
        </w:rPr>
        <w:t xml:space="preserve">рмативных правовых актов Ярковского сельского поселения Новохоперского </w:t>
      </w:r>
      <w:r w:rsidR="00B456A1" w:rsidRPr="002F0584">
        <w:rPr>
          <w:rFonts w:ascii="Times New Roman" w:hAnsi="Times New Roman"/>
          <w:sz w:val="28"/>
          <w:szCs w:val="28"/>
        </w:rPr>
        <w:t xml:space="preserve"> муниципального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A4820">
        <w:rPr>
          <w:sz w:val="28"/>
          <w:szCs w:val="28"/>
        </w:rPr>
        <w:t xml:space="preserve"> актов  Ярковского сельского поселения </w:t>
      </w:r>
      <w:r w:rsidRPr="002F0584">
        <w:rPr>
          <w:sz w:val="28"/>
          <w:szCs w:val="28"/>
        </w:rPr>
        <w:t>сельского</w:t>
      </w:r>
      <w:r w:rsidR="00CA4820">
        <w:rPr>
          <w:sz w:val="28"/>
          <w:szCs w:val="28"/>
        </w:rPr>
        <w:t xml:space="preserve"> поселения Новохоперского </w:t>
      </w:r>
      <w:r w:rsidRPr="002F058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990048">
        <w:rPr>
          <w:rFonts w:ascii="Times New Roman" w:hAnsi="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990048">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11889" w:rsidRPr="00872D4B">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w:t>
      </w:r>
      <w:r w:rsidRPr="00990048">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w:t>
      </w:r>
      <w:r w:rsidR="00D11889" w:rsidRPr="00872D4B">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Default="00D25FD2" w:rsidP="00B456A1">
      <w:pPr>
        <w:spacing w:after="280"/>
        <w:ind w:firstLine="709"/>
        <w:rPr>
          <w:rFonts w:ascii="Times New Roman" w:hAnsi="Times New Roman"/>
          <w:spacing w:val="7"/>
          <w:sz w:val="28"/>
          <w:szCs w:val="28"/>
        </w:rPr>
      </w:pPr>
    </w:p>
    <w:p w:rsidR="00CB5870" w:rsidRDefault="00CB5870" w:rsidP="00B456A1">
      <w:pPr>
        <w:spacing w:after="280"/>
        <w:ind w:firstLine="709"/>
        <w:rPr>
          <w:rFonts w:ascii="Times New Roman" w:hAnsi="Times New Roman"/>
          <w:spacing w:val="7"/>
          <w:sz w:val="28"/>
          <w:szCs w:val="28"/>
        </w:rPr>
      </w:pPr>
    </w:p>
    <w:p w:rsidR="00CB5870" w:rsidRDefault="00CB5870" w:rsidP="00B456A1">
      <w:pPr>
        <w:spacing w:after="280"/>
        <w:ind w:firstLine="709"/>
        <w:rPr>
          <w:rFonts w:ascii="Times New Roman" w:hAnsi="Times New Roman"/>
          <w:spacing w:val="7"/>
          <w:sz w:val="28"/>
          <w:szCs w:val="28"/>
        </w:rPr>
      </w:pPr>
    </w:p>
    <w:p w:rsidR="00CB5870" w:rsidRDefault="00CB5870" w:rsidP="00B456A1">
      <w:pPr>
        <w:spacing w:after="280"/>
        <w:ind w:firstLine="709"/>
        <w:rPr>
          <w:rFonts w:ascii="Times New Roman" w:hAnsi="Times New Roman"/>
          <w:spacing w:val="7"/>
          <w:sz w:val="28"/>
          <w:szCs w:val="28"/>
        </w:rPr>
      </w:pPr>
    </w:p>
    <w:p w:rsidR="00CB5870" w:rsidRDefault="00CB5870" w:rsidP="00B456A1">
      <w:pPr>
        <w:spacing w:after="280"/>
        <w:ind w:firstLine="709"/>
        <w:rPr>
          <w:rFonts w:ascii="Times New Roman" w:hAnsi="Times New Roman"/>
          <w:spacing w:val="7"/>
          <w:sz w:val="28"/>
          <w:szCs w:val="28"/>
        </w:rPr>
      </w:pPr>
    </w:p>
    <w:p w:rsidR="00CB5870" w:rsidRPr="002F0584" w:rsidRDefault="00CB5870"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lastRenderedPageBreak/>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46" w:rsidRDefault="00DA0246" w:rsidP="00A82176">
      <w:r>
        <w:separator/>
      </w:r>
    </w:p>
  </w:endnote>
  <w:endnote w:type="continuationSeparator" w:id="0">
    <w:p w:rsidR="00DA0246" w:rsidRDefault="00DA0246"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46" w:rsidRDefault="00DA0246" w:rsidP="00A82176">
      <w:r>
        <w:separator/>
      </w:r>
    </w:p>
  </w:footnote>
  <w:footnote w:type="continuationSeparator" w:id="0">
    <w:p w:rsidR="00DA0246" w:rsidRDefault="00DA0246"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AA60B4" w:rsidRDefault="00402205">
        <w:pPr>
          <w:pStyle w:val="af0"/>
          <w:jc w:val="center"/>
        </w:pPr>
        <w:fldSimple w:instr="PAGE   \* MERGEFORMAT">
          <w:r w:rsidR="002D14D7">
            <w:rPr>
              <w:noProof/>
            </w:rPr>
            <w:t>46</w:t>
          </w:r>
        </w:fldSimple>
      </w:p>
    </w:sdtContent>
  </w:sdt>
  <w:p w:rsidR="00AA60B4" w:rsidRDefault="00AA60B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0D81"/>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E4A87"/>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3379"/>
    <w:rsid w:val="002349F5"/>
    <w:rsid w:val="00237BA6"/>
    <w:rsid w:val="00237CDB"/>
    <w:rsid w:val="00240B3C"/>
    <w:rsid w:val="00243BE5"/>
    <w:rsid w:val="002509F3"/>
    <w:rsid w:val="00255593"/>
    <w:rsid w:val="00256CA4"/>
    <w:rsid w:val="00260E0F"/>
    <w:rsid w:val="00263F9B"/>
    <w:rsid w:val="0026420A"/>
    <w:rsid w:val="00271F06"/>
    <w:rsid w:val="00284717"/>
    <w:rsid w:val="00292449"/>
    <w:rsid w:val="00295CEC"/>
    <w:rsid w:val="002A5ECF"/>
    <w:rsid w:val="002B3D88"/>
    <w:rsid w:val="002B5F77"/>
    <w:rsid w:val="002B7E6B"/>
    <w:rsid w:val="002C0B3B"/>
    <w:rsid w:val="002C7624"/>
    <w:rsid w:val="002D128F"/>
    <w:rsid w:val="002D14D7"/>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02205"/>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94384"/>
    <w:rsid w:val="004A77CD"/>
    <w:rsid w:val="004B7252"/>
    <w:rsid w:val="004B73BB"/>
    <w:rsid w:val="004C3888"/>
    <w:rsid w:val="004C44F2"/>
    <w:rsid w:val="004C66B1"/>
    <w:rsid w:val="004C6F1F"/>
    <w:rsid w:val="004D36E2"/>
    <w:rsid w:val="004D6A5C"/>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8296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26E"/>
    <w:rsid w:val="00691994"/>
    <w:rsid w:val="00694645"/>
    <w:rsid w:val="00697351"/>
    <w:rsid w:val="006A0D82"/>
    <w:rsid w:val="006A1426"/>
    <w:rsid w:val="006A18F5"/>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9761F"/>
    <w:rsid w:val="007B5D8E"/>
    <w:rsid w:val="007D338B"/>
    <w:rsid w:val="007D397B"/>
    <w:rsid w:val="007E215D"/>
    <w:rsid w:val="007F2842"/>
    <w:rsid w:val="00812CAF"/>
    <w:rsid w:val="00814082"/>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67E"/>
    <w:rsid w:val="008B3A5E"/>
    <w:rsid w:val="008B4298"/>
    <w:rsid w:val="008C0FF5"/>
    <w:rsid w:val="008C4BA1"/>
    <w:rsid w:val="008C73E3"/>
    <w:rsid w:val="008D126D"/>
    <w:rsid w:val="008D2A25"/>
    <w:rsid w:val="008D419C"/>
    <w:rsid w:val="008E22EC"/>
    <w:rsid w:val="008E3F57"/>
    <w:rsid w:val="008E7EF3"/>
    <w:rsid w:val="008F3016"/>
    <w:rsid w:val="008F4B35"/>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073F"/>
    <w:rsid w:val="00A06CC4"/>
    <w:rsid w:val="00A1028F"/>
    <w:rsid w:val="00A10C14"/>
    <w:rsid w:val="00A23086"/>
    <w:rsid w:val="00A23FF2"/>
    <w:rsid w:val="00A24359"/>
    <w:rsid w:val="00A26ADC"/>
    <w:rsid w:val="00A27A95"/>
    <w:rsid w:val="00A27F16"/>
    <w:rsid w:val="00A352D5"/>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0B4"/>
    <w:rsid w:val="00AA6211"/>
    <w:rsid w:val="00AB0863"/>
    <w:rsid w:val="00AB5CF0"/>
    <w:rsid w:val="00AB63ED"/>
    <w:rsid w:val="00AC31AE"/>
    <w:rsid w:val="00AC62E1"/>
    <w:rsid w:val="00AD3B95"/>
    <w:rsid w:val="00AD4874"/>
    <w:rsid w:val="00AD67FA"/>
    <w:rsid w:val="00AE6CB9"/>
    <w:rsid w:val="00AF0FFC"/>
    <w:rsid w:val="00AF2F03"/>
    <w:rsid w:val="00AF3433"/>
    <w:rsid w:val="00AF41C6"/>
    <w:rsid w:val="00AF44A7"/>
    <w:rsid w:val="00B050CF"/>
    <w:rsid w:val="00B1017A"/>
    <w:rsid w:val="00B1458E"/>
    <w:rsid w:val="00B17093"/>
    <w:rsid w:val="00B2011D"/>
    <w:rsid w:val="00B31D2E"/>
    <w:rsid w:val="00B354F5"/>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0059B"/>
    <w:rsid w:val="00C325B5"/>
    <w:rsid w:val="00C34B71"/>
    <w:rsid w:val="00C36ACC"/>
    <w:rsid w:val="00C5171F"/>
    <w:rsid w:val="00C57EC9"/>
    <w:rsid w:val="00C63793"/>
    <w:rsid w:val="00C91F53"/>
    <w:rsid w:val="00CA373F"/>
    <w:rsid w:val="00CA4820"/>
    <w:rsid w:val="00CB04BA"/>
    <w:rsid w:val="00CB3DEA"/>
    <w:rsid w:val="00CB3ED7"/>
    <w:rsid w:val="00CB5870"/>
    <w:rsid w:val="00CB6AE0"/>
    <w:rsid w:val="00CC3C1D"/>
    <w:rsid w:val="00CC4543"/>
    <w:rsid w:val="00CC4F30"/>
    <w:rsid w:val="00CD2D55"/>
    <w:rsid w:val="00CD5FF3"/>
    <w:rsid w:val="00CE452F"/>
    <w:rsid w:val="00CE66EA"/>
    <w:rsid w:val="00CE6DCB"/>
    <w:rsid w:val="00CF0636"/>
    <w:rsid w:val="00CF184D"/>
    <w:rsid w:val="00CF6105"/>
    <w:rsid w:val="00D02F4B"/>
    <w:rsid w:val="00D11889"/>
    <w:rsid w:val="00D12EF9"/>
    <w:rsid w:val="00D24709"/>
    <w:rsid w:val="00D25FD2"/>
    <w:rsid w:val="00D32F82"/>
    <w:rsid w:val="00D3692F"/>
    <w:rsid w:val="00D42193"/>
    <w:rsid w:val="00D70AC1"/>
    <w:rsid w:val="00D714C7"/>
    <w:rsid w:val="00D7763C"/>
    <w:rsid w:val="00D85E14"/>
    <w:rsid w:val="00D95460"/>
    <w:rsid w:val="00DA0246"/>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0B3D"/>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368AD"/>
    <w:rsid w:val="00F403A2"/>
    <w:rsid w:val="00F40DA0"/>
    <w:rsid w:val="00F4733D"/>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A59C3"/>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085975">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5C1F-1400-426B-923F-1011C25F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Pages>
  <Words>14580</Words>
  <Characters>83108</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Черняк Татьяна Сергеевна</dc:creator>
  <cp:lastModifiedBy>785</cp:lastModifiedBy>
  <cp:revision>70</cp:revision>
  <cp:lastPrinted>2024-12-20T10:31:00Z</cp:lastPrinted>
  <dcterms:created xsi:type="dcterms:W3CDTF">2023-05-11T12:27:00Z</dcterms:created>
  <dcterms:modified xsi:type="dcterms:W3CDTF">2024-12-20T10:33:00Z</dcterms:modified>
</cp:coreProperties>
</file>